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7F3BB" w14:textId="2454E411" w:rsidR="00415FDC" w:rsidRDefault="0049214D" w:rsidP="0049214D">
      <w:pPr>
        <w:jc w:val="center"/>
        <w:rPr>
          <w:b/>
          <w:bCs/>
          <w:sz w:val="36"/>
          <w:szCs w:val="36"/>
        </w:rPr>
      </w:pPr>
      <w:r w:rsidRPr="0049214D">
        <w:rPr>
          <w:b/>
          <w:bCs/>
          <w:sz w:val="36"/>
          <w:szCs w:val="36"/>
        </w:rPr>
        <w:t>Деревья решений: общие принципы</w:t>
      </w:r>
    </w:p>
    <w:p w14:paraId="67BE1825" w14:textId="0E50B181" w:rsidR="0049214D" w:rsidRDefault="0049214D" w:rsidP="0049214D">
      <w:pPr>
        <w:jc w:val="both"/>
        <w:rPr>
          <w:rFonts w:ascii="Source Sans Pro" w:hAnsi="Source Sans Pro"/>
          <w:color w:val="333333"/>
          <w:sz w:val="27"/>
          <w:szCs w:val="27"/>
          <w:shd w:val="clear" w:color="auto" w:fill="FFFFFF"/>
        </w:rPr>
      </w:pPr>
      <w:r>
        <w:rPr>
          <w:rFonts w:ascii="Source Sans Pro" w:hAnsi="Source Sans Pro"/>
          <w:color w:val="333333"/>
          <w:sz w:val="27"/>
          <w:szCs w:val="27"/>
          <w:shd w:val="clear" w:color="auto" w:fill="FFFFFF"/>
        </w:rPr>
        <w:t>Деревья решений являются одним из наиболее эффективных инструментов интеллектуального анализа данных и предсказательной аналитики, которые позволяют решать задачи </w:t>
      </w:r>
      <w:hyperlink r:id="rId4" w:tgtFrame="_blank" w:history="1">
        <w:r>
          <w:rPr>
            <w:rStyle w:val="a3"/>
            <w:rFonts w:ascii="Source Sans Pro" w:hAnsi="Source Sans Pro"/>
            <w:color w:val="E1312F"/>
            <w:sz w:val="27"/>
            <w:szCs w:val="27"/>
            <w:shd w:val="clear" w:color="auto" w:fill="FFFFFF"/>
          </w:rPr>
          <w:t>классификации</w:t>
        </w:r>
      </w:hyperlink>
      <w:r>
        <w:rPr>
          <w:rFonts w:ascii="Source Sans Pro" w:hAnsi="Source Sans Pro"/>
          <w:color w:val="333333"/>
          <w:sz w:val="27"/>
          <w:szCs w:val="27"/>
          <w:shd w:val="clear" w:color="auto" w:fill="FFFFFF"/>
        </w:rPr>
        <w:t> и </w:t>
      </w:r>
      <w:hyperlink r:id="rId5" w:tgtFrame="_blank" w:history="1">
        <w:r>
          <w:rPr>
            <w:rStyle w:val="a3"/>
            <w:rFonts w:ascii="Source Sans Pro" w:hAnsi="Source Sans Pro"/>
            <w:color w:val="E1312F"/>
            <w:sz w:val="27"/>
            <w:szCs w:val="27"/>
            <w:shd w:val="clear" w:color="auto" w:fill="FFFFFF"/>
          </w:rPr>
          <w:t>регрессии</w:t>
        </w:r>
      </w:hyperlink>
      <w:r>
        <w:rPr>
          <w:rFonts w:ascii="Source Sans Pro" w:hAnsi="Source Sans Pro"/>
          <w:color w:val="333333"/>
          <w:sz w:val="27"/>
          <w:szCs w:val="27"/>
          <w:shd w:val="clear" w:color="auto" w:fill="FFFFFF"/>
        </w:rPr>
        <w:t>.</w:t>
      </w:r>
    </w:p>
    <w:p w14:paraId="14074844" w14:textId="77777777" w:rsidR="0049214D" w:rsidRPr="0049214D" w:rsidRDefault="0049214D" w:rsidP="0049214D">
      <w:pPr>
        <w:shd w:val="clear" w:color="auto" w:fill="FFFFFF"/>
        <w:spacing w:before="600" w:after="300" w:line="240" w:lineRule="auto"/>
        <w:outlineLvl w:val="1"/>
        <w:rPr>
          <w:rFonts w:ascii="Source Sans Pro" w:eastAsia="Times New Roman" w:hAnsi="Source Sans Pro" w:cs="Times New Roman"/>
          <w:b/>
          <w:bCs/>
          <w:color w:val="000000"/>
          <w:sz w:val="36"/>
          <w:szCs w:val="36"/>
          <w:lang w:eastAsia="ru-RU"/>
        </w:rPr>
      </w:pPr>
      <w:r w:rsidRPr="0049214D">
        <w:rPr>
          <w:rFonts w:ascii="Source Sans Pro" w:eastAsia="Times New Roman" w:hAnsi="Source Sans Pro" w:cs="Times New Roman"/>
          <w:b/>
          <w:bCs/>
          <w:color w:val="000000"/>
          <w:sz w:val="36"/>
          <w:szCs w:val="36"/>
          <w:lang w:eastAsia="ru-RU"/>
        </w:rPr>
        <w:t>Терминология</w:t>
      </w:r>
    </w:p>
    <w:tbl>
      <w:tblPr>
        <w:tblW w:w="929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38"/>
        <w:gridCol w:w="6659"/>
      </w:tblGrid>
      <w:tr w:rsidR="0049214D" w:rsidRPr="0049214D" w14:paraId="0523C108" w14:textId="77777777" w:rsidTr="0049214D">
        <w:trPr>
          <w:trHeight w:val="292"/>
          <w:tblHeader/>
        </w:trPr>
        <w:tc>
          <w:tcPr>
            <w:tcW w:w="0" w:type="auto"/>
            <w:tcBorders>
              <w:top w:val="nil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5D7085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799538D4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b/>
                <w:bCs/>
                <w:color w:val="FFFFFF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nil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5D7085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6CB20982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b/>
                <w:bCs/>
                <w:color w:val="FFFFFF"/>
                <w:sz w:val="24"/>
                <w:szCs w:val="24"/>
                <w:lang w:eastAsia="ru-RU"/>
              </w:rPr>
              <w:t>Описание</w:t>
            </w:r>
          </w:p>
        </w:tc>
      </w:tr>
      <w:tr w:rsidR="0049214D" w:rsidRPr="0049214D" w14:paraId="2988D943" w14:textId="77777777" w:rsidTr="0049214D">
        <w:trPr>
          <w:trHeight w:val="292"/>
        </w:trPr>
        <w:tc>
          <w:tcPr>
            <w:tcW w:w="0" w:type="auto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47B10CAC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6E40083C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Пример, шаблон, наблюдение</w:t>
            </w:r>
          </w:p>
        </w:tc>
      </w:tr>
      <w:tr w:rsidR="0049214D" w:rsidRPr="0049214D" w14:paraId="6922E105" w14:textId="77777777" w:rsidTr="0049214D">
        <w:trPr>
          <w:trHeight w:val="292"/>
        </w:trPr>
        <w:tc>
          <w:tcPr>
            <w:tcW w:w="0" w:type="auto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0203B5BC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Атрибут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635FB154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Признак, независимая переменная, свойство</w:t>
            </w:r>
          </w:p>
        </w:tc>
      </w:tr>
      <w:tr w:rsidR="0049214D" w:rsidRPr="0049214D" w14:paraId="3E212354" w14:textId="77777777" w:rsidTr="0049214D">
        <w:trPr>
          <w:trHeight w:val="304"/>
        </w:trPr>
        <w:tc>
          <w:tcPr>
            <w:tcW w:w="0" w:type="auto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7A1F772C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Целевая переменная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242BC494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Зависимая переменная, метка класса</w:t>
            </w:r>
          </w:p>
        </w:tc>
      </w:tr>
      <w:tr w:rsidR="0049214D" w:rsidRPr="0049214D" w14:paraId="3B8FFBEF" w14:textId="77777777" w:rsidTr="0049214D">
        <w:trPr>
          <w:trHeight w:val="292"/>
        </w:trPr>
        <w:tc>
          <w:tcPr>
            <w:tcW w:w="0" w:type="auto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185524E2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Узел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1574C400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Внутренний узел дерева, узел проверки</w:t>
            </w:r>
          </w:p>
        </w:tc>
      </w:tr>
      <w:tr w:rsidR="0049214D" w:rsidRPr="0049214D" w14:paraId="72C39856" w14:textId="77777777" w:rsidTr="0049214D">
        <w:trPr>
          <w:trHeight w:val="292"/>
        </w:trPr>
        <w:tc>
          <w:tcPr>
            <w:tcW w:w="0" w:type="auto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1DC0C1B0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Корневой узел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06D349D1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Начальный узел дерева решений</w:t>
            </w:r>
          </w:p>
        </w:tc>
      </w:tr>
      <w:tr w:rsidR="0049214D" w:rsidRPr="0049214D" w14:paraId="2476AD54" w14:textId="77777777" w:rsidTr="0049214D">
        <w:trPr>
          <w:trHeight w:val="292"/>
        </w:trPr>
        <w:tc>
          <w:tcPr>
            <w:tcW w:w="0" w:type="auto"/>
            <w:tcBorders>
              <w:top w:val="single" w:sz="24" w:space="0" w:color="FFFFFF"/>
              <w:left w:val="nil"/>
              <w:bottom w:val="single" w:sz="24" w:space="0" w:color="FFFFFF"/>
              <w:right w:val="single" w:sz="24" w:space="0" w:color="FFFFFF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54B80B09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Лист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single" w:sz="24" w:space="0" w:color="FFFFFF"/>
              <w:right w:val="nil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338C3269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Конечный узел дерева, узел решения, терминальный узел</w:t>
            </w:r>
          </w:p>
        </w:tc>
      </w:tr>
      <w:tr w:rsidR="0049214D" w:rsidRPr="0049214D" w14:paraId="29F5D909" w14:textId="77777777" w:rsidTr="0049214D">
        <w:trPr>
          <w:trHeight w:val="292"/>
        </w:trPr>
        <w:tc>
          <w:tcPr>
            <w:tcW w:w="0" w:type="auto"/>
            <w:tcBorders>
              <w:top w:val="single" w:sz="24" w:space="0" w:color="FFFFFF"/>
              <w:left w:val="nil"/>
              <w:bottom w:val="nil"/>
              <w:right w:val="single" w:sz="24" w:space="0" w:color="FFFFFF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77E4386B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Решающее правило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24" w:space="0" w:color="FFFFFF"/>
              <w:bottom w:val="nil"/>
              <w:right w:val="nil"/>
            </w:tcBorders>
            <w:shd w:val="clear" w:color="auto" w:fill="FBFBFB"/>
            <w:tcMar>
              <w:top w:w="240" w:type="dxa"/>
              <w:left w:w="180" w:type="dxa"/>
              <w:bottom w:w="240" w:type="dxa"/>
              <w:right w:w="180" w:type="dxa"/>
            </w:tcMar>
            <w:vAlign w:val="center"/>
            <w:hideMark/>
          </w:tcPr>
          <w:p w14:paraId="095556F6" w14:textId="77777777" w:rsidR="0049214D" w:rsidRPr="0049214D" w:rsidRDefault="0049214D" w:rsidP="0049214D">
            <w:pPr>
              <w:spacing w:after="0" w:line="240" w:lineRule="auto"/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</w:pPr>
            <w:r w:rsidRPr="0049214D">
              <w:rPr>
                <w:rFonts w:ascii="Source Sans Pro" w:eastAsia="Times New Roman" w:hAnsi="Source Sans Pro" w:cs="Times New Roman"/>
                <w:color w:val="333333"/>
                <w:sz w:val="24"/>
                <w:szCs w:val="24"/>
                <w:lang w:eastAsia="ru-RU"/>
              </w:rPr>
              <w:t>Условие в узле, проверка</w:t>
            </w:r>
          </w:p>
        </w:tc>
      </w:tr>
    </w:tbl>
    <w:p w14:paraId="48B65E41" w14:textId="2B22A1AC" w:rsidR="0049214D" w:rsidRDefault="0049214D" w:rsidP="0049214D">
      <w:pPr>
        <w:jc w:val="both"/>
        <w:rPr>
          <w:b/>
          <w:bCs/>
          <w:sz w:val="36"/>
          <w:szCs w:val="36"/>
        </w:rPr>
      </w:pPr>
    </w:p>
    <w:p w14:paraId="6BB980CE" w14:textId="77777777" w:rsidR="0049214D" w:rsidRDefault="0049214D" w:rsidP="0049214D">
      <w:pPr>
        <w:pStyle w:val="2"/>
        <w:shd w:val="clear" w:color="auto" w:fill="FFFFFF"/>
        <w:spacing w:before="600" w:beforeAutospacing="0" w:after="300" w:afterAutospacing="0"/>
        <w:rPr>
          <w:rFonts w:ascii="Source Sans Pro" w:hAnsi="Source Sans Pro"/>
          <w:color w:val="000000"/>
        </w:rPr>
      </w:pPr>
      <w:r>
        <w:rPr>
          <w:rFonts w:ascii="Source Sans Pro" w:hAnsi="Source Sans Pro"/>
          <w:color w:val="000000"/>
        </w:rPr>
        <w:t>Структура дерева решений</w:t>
      </w:r>
    </w:p>
    <w:p w14:paraId="784949BD" w14:textId="77777777" w:rsidR="0049214D" w:rsidRDefault="0049214D" w:rsidP="0049214D">
      <w:pPr>
        <w:pStyle w:val="a4"/>
        <w:shd w:val="clear" w:color="auto" w:fill="FFFFFF"/>
        <w:spacing w:before="300" w:beforeAutospacing="0" w:after="30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>Собственно, само дерево решений — это метод представления </w:t>
      </w:r>
      <w:hyperlink r:id="rId6" w:tgtFrame="_blank" w:history="1">
        <w:r>
          <w:rPr>
            <w:rStyle w:val="a3"/>
            <w:rFonts w:ascii="Source Sans Pro" w:hAnsi="Source Sans Pro"/>
            <w:color w:val="E1312F"/>
            <w:sz w:val="27"/>
            <w:szCs w:val="27"/>
          </w:rPr>
          <w:t>решающих правил</w:t>
        </w:r>
      </w:hyperlink>
      <w:r>
        <w:rPr>
          <w:rFonts w:ascii="Source Sans Pro" w:hAnsi="Source Sans Pro"/>
          <w:color w:val="333333"/>
          <w:sz w:val="27"/>
          <w:szCs w:val="27"/>
        </w:rPr>
        <w:t> в иерархической структуре, состоящей из элементов двух типов — узлов (</w:t>
      </w:r>
      <w:proofErr w:type="spellStart"/>
      <w:r>
        <w:rPr>
          <w:rFonts w:ascii="Source Sans Pro" w:hAnsi="Source Sans Pro"/>
          <w:color w:val="333333"/>
          <w:sz w:val="27"/>
          <w:szCs w:val="27"/>
        </w:rPr>
        <w:t>node</w:t>
      </w:r>
      <w:proofErr w:type="spellEnd"/>
      <w:r>
        <w:rPr>
          <w:rFonts w:ascii="Source Sans Pro" w:hAnsi="Source Sans Pro"/>
          <w:color w:val="333333"/>
          <w:sz w:val="27"/>
          <w:szCs w:val="27"/>
        </w:rPr>
        <w:t>) и листьев (</w:t>
      </w:r>
      <w:proofErr w:type="spellStart"/>
      <w:r>
        <w:rPr>
          <w:rFonts w:ascii="Source Sans Pro" w:hAnsi="Source Sans Pro"/>
          <w:color w:val="333333"/>
          <w:sz w:val="27"/>
          <w:szCs w:val="27"/>
        </w:rPr>
        <w:t>leaf</w:t>
      </w:r>
      <w:proofErr w:type="spellEnd"/>
      <w:r>
        <w:rPr>
          <w:rFonts w:ascii="Source Sans Pro" w:hAnsi="Source Sans Pro"/>
          <w:color w:val="333333"/>
          <w:sz w:val="27"/>
          <w:szCs w:val="27"/>
        </w:rPr>
        <w:t>). В узлах находятся решающие правила и производится проверка соответствия примеров этому правилу по какому-либо </w:t>
      </w:r>
      <w:hyperlink r:id="rId7" w:tgtFrame="_blank" w:history="1">
        <w:r>
          <w:rPr>
            <w:rStyle w:val="a3"/>
            <w:rFonts w:ascii="Source Sans Pro" w:hAnsi="Source Sans Pro"/>
            <w:color w:val="E1312F"/>
            <w:sz w:val="27"/>
            <w:szCs w:val="27"/>
          </w:rPr>
          <w:t>атрибуту</w:t>
        </w:r>
      </w:hyperlink>
      <w:r>
        <w:rPr>
          <w:rFonts w:ascii="Source Sans Pro" w:hAnsi="Source Sans Pro"/>
          <w:color w:val="333333"/>
          <w:sz w:val="27"/>
          <w:szCs w:val="27"/>
        </w:rPr>
        <w:t> обучающего множества.</w:t>
      </w:r>
    </w:p>
    <w:p w14:paraId="2E9EDCF5" w14:textId="77777777" w:rsidR="0049214D" w:rsidRDefault="0049214D" w:rsidP="0049214D">
      <w:pPr>
        <w:pStyle w:val="a4"/>
        <w:shd w:val="clear" w:color="auto" w:fill="FFFFFF"/>
        <w:spacing w:before="300" w:beforeAutospacing="0" w:after="30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 xml:space="preserve">В простейшем случае, в результате проверки, множество примеров, попавших в узел, разбивается на два подмножества, в одно из которых </w:t>
      </w:r>
      <w:r>
        <w:rPr>
          <w:rFonts w:ascii="Source Sans Pro" w:hAnsi="Source Sans Pro"/>
          <w:color w:val="333333"/>
          <w:sz w:val="27"/>
          <w:szCs w:val="27"/>
        </w:rPr>
        <w:lastRenderedPageBreak/>
        <w:t>попадают примеры, удовлетворяющие правилу, а в другое — не удовлетворяющие.</w:t>
      </w:r>
    </w:p>
    <w:p w14:paraId="6AA1135B" w14:textId="4595D3D1" w:rsidR="0049214D" w:rsidRDefault="0049214D" w:rsidP="0049214D">
      <w:pPr>
        <w:jc w:val="both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02D949A3" wp14:editId="34A4B5D7">
            <wp:extent cx="5694326" cy="3060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973" cy="306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FC6ED7" w14:textId="77777777" w:rsidR="00E370EB" w:rsidRDefault="00E370EB" w:rsidP="00E370EB">
      <w:pPr>
        <w:pStyle w:val="a4"/>
        <w:shd w:val="clear" w:color="auto" w:fill="FFFFFF"/>
        <w:spacing w:before="300" w:beforeAutospacing="0" w:after="30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 xml:space="preserve">Затем к каждому подмножеству вновь применяется правило и процедура рекурсивно повторяется пока не будет достигнуто некоторое условие остановки алгоритма. В результате в последнем узле проверка и разбиение </w:t>
      </w:r>
      <w:proofErr w:type="gramStart"/>
      <w:r>
        <w:rPr>
          <w:rFonts w:ascii="Source Sans Pro" w:hAnsi="Source Sans Pro"/>
          <w:color w:val="333333"/>
          <w:sz w:val="27"/>
          <w:szCs w:val="27"/>
        </w:rPr>
        <w:t>не производится</w:t>
      </w:r>
      <w:proofErr w:type="gramEnd"/>
      <w:r>
        <w:rPr>
          <w:rFonts w:ascii="Source Sans Pro" w:hAnsi="Source Sans Pro"/>
          <w:color w:val="333333"/>
          <w:sz w:val="27"/>
          <w:szCs w:val="27"/>
        </w:rPr>
        <w:t xml:space="preserve"> и он объявляется листом. Лист определяет решение для каждого попавшего в него примера. Для дерева классификации — это </w:t>
      </w:r>
      <w:hyperlink r:id="rId9" w:tgtFrame="_blank" w:history="1">
        <w:r>
          <w:rPr>
            <w:rStyle w:val="a3"/>
            <w:rFonts w:ascii="Source Sans Pro" w:hAnsi="Source Sans Pro"/>
            <w:color w:val="E1312F"/>
            <w:sz w:val="27"/>
            <w:szCs w:val="27"/>
          </w:rPr>
          <w:t>класс</w:t>
        </w:r>
      </w:hyperlink>
      <w:r>
        <w:rPr>
          <w:rFonts w:ascii="Source Sans Pro" w:hAnsi="Source Sans Pro"/>
          <w:color w:val="333333"/>
          <w:sz w:val="27"/>
          <w:szCs w:val="27"/>
        </w:rPr>
        <w:t>, ассоциируемый с узлом, а для дерева регрессии — соответствующий листу модальный интервал целевой переменной.</w:t>
      </w:r>
    </w:p>
    <w:p w14:paraId="6C34E94C" w14:textId="77777777" w:rsidR="00E370EB" w:rsidRDefault="00E370EB" w:rsidP="00E370EB">
      <w:pPr>
        <w:pStyle w:val="a4"/>
        <w:shd w:val="clear" w:color="auto" w:fill="FFFFFF"/>
        <w:spacing w:before="300" w:beforeAutospacing="0" w:after="30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>Таким образом, в отличие от узла, в листе содержится не правило, а подмножество объектов, удовлетворяющих всем правилам ветви, которая заканчивается данным листом.</w:t>
      </w:r>
    </w:p>
    <w:p w14:paraId="44E6F57B" w14:textId="77777777" w:rsidR="00E370EB" w:rsidRDefault="00E370EB" w:rsidP="00E370EB">
      <w:pPr>
        <w:pStyle w:val="a4"/>
        <w:shd w:val="clear" w:color="auto" w:fill="FFFFFF"/>
        <w:spacing w:before="300" w:beforeAutospacing="0" w:after="30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>Очевидно, чтобы попасть в лист, пример должен удовлетворять всем правилам, лежащим на пути к этому листу. Поскольку путь в дереве к каждому листу единственный, то и каждый пример может попасть только в один лист, что обеспечивает единственность решения.</w:t>
      </w:r>
    </w:p>
    <w:p w14:paraId="1FEBE5CD" w14:textId="77777777" w:rsidR="00E370EB" w:rsidRPr="0049214D" w:rsidRDefault="00E370EB" w:rsidP="0049214D">
      <w:pPr>
        <w:jc w:val="both"/>
        <w:rPr>
          <w:b/>
          <w:bCs/>
          <w:sz w:val="36"/>
          <w:szCs w:val="36"/>
        </w:rPr>
      </w:pPr>
    </w:p>
    <w:sectPr w:rsidR="00E370EB" w:rsidRPr="00492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0C4"/>
    <w:rsid w:val="00415FDC"/>
    <w:rsid w:val="0049214D"/>
    <w:rsid w:val="005E70C4"/>
    <w:rsid w:val="00E3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E0B50"/>
  <w15:chartTrackingRefBased/>
  <w15:docId w15:val="{39C961E0-B3EA-49B8-BE65-B8FA45463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921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214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921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492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iki.loginom.ru/articles/attribute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iki.loginom.ru/articles/decision-rule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iki.loginom.ru/articles/regression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iki.loginom.ru/articles/classification.html" TargetMode="External"/><Relationship Id="rId9" Type="http://schemas.openxmlformats.org/officeDocument/2006/relationships/hyperlink" Target="https://wiki.loginom.ru/articles/clas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kuznetsov max</dc:creator>
  <cp:keywords/>
  <dc:description/>
  <cp:lastModifiedBy>kuznetsov max</cp:lastModifiedBy>
  <cp:revision>3</cp:revision>
  <dcterms:created xsi:type="dcterms:W3CDTF">2024-01-22T05:58:00Z</dcterms:created>
  <dcterms:modified xsi:type="dcterms:W3CDTF">2024-01-22T06:05:00Z</dcterms:modified>
</cp:coreProperties>
</file>